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5AA" w:rsidRDefault="000C25AA" w:rsidP="000C25AA">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17 diecisiete de julio del año 2017 dos mil diecisiete. </w:t>
      </w:r>
    </w:p>
    <w:p w:rsidR="000C25AA" w:rsidRDefault="000C25AA" w:rsidP="000C25AA">
      <w:pPr>
        <w:rPr>
          <w:rFonts w:ascii="Calibri" w:hAnsi="Calibri" w:cs="Calibri"/>
          <w:color w:val="767171" w:themeColor="background2" w:themeShade="80"/>
          <w:sz w:val="26"/>
          <w:szCs w:val="26"/>
        </w:rPr>
      </w:pPr>
    </w:p>
    <w:p w:rsidR="000C25AA" w:rsidRDefault="000C25AA" w:rsidP="000C25A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0342/2doJAM/2017-JN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0C25AA" w:rsidRDefault="000C25AA" w:rsidP="000C25AA">
      <w:pPr>
        <w:pStyle w:val="Textoindependiente"/>
        <w:rPr>
          <w:rFonts w:ascii="Calibri" w:hAnsi="Calibri" w:cs="Calibri"/>
          <w:color w:val="767171" w:themeColor="background2" w:themeShade="80"/>
          <w:sz w:val="26"/>
          <w:szCs w:val="26"/>
        </w:rPr>
      </w:pPr>
    </w:p>
    <w:p w:rsidR="000C25AA" w:rsidRDefault="000C25AA" w:rsidP="000C25AA">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0C25AA" w:rsidRDefault="000C25AA" w:rsidP="000C25AA">
      <w:pPr>
        <w:pStyle w:val="Textoindependiente"/>
        <w:ind w:firstLine="708"/>
        <w:jc w:val="center"/>
        <w:rPr>
          <w:rFonts w:ascii="Calibri" w:hAnsi="Calibri" w:cs="Calibri"/>
          <w:b/>
          <w:bCs/>
          <w:color w:val="767171" w:themeColor="background2" w:themeShade="80"/>
          <w:sz w:val="26"/>
          <w:szCs w:val="26"/>
        </w:rPr>
      </w:pPr>
    </w:p>
    <w:p w:rsidR="000C25AA" w:rsidRDefault="000C25AA" w:rsidP="000C25A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w:t>
      </w:r>
    </w:p>
    <w:p w:rsidR="000C25AA" w:rsidRDefault="000C25AA" w:rsidP="000C25AA">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0342/2doJAM/2017-JN</w:t>
      </w:r>
    </w:p>
    <w:p w:rsidR="000C25AA" w:rsidRDefault="000C25AA" w:rsidP="000C25AA">
      <w:pPr>
        <w:pStyle w:val="Textoindependiente"/>
        <w:ind w:firstLine="708"/>
        <w:rPr>
          <w:rFonts w:ascii="Calibri" w:hAnsi="Calibri" w:cs="Calibri"/>
          <w:color w:val="767171" w:themeColor="background2" w:themeShade="80"/>
          <w:sz w:val="26"/>
          <w:szCs w:val="26"/>
        </w:rPr>
      </w:pPr>
    </w:p>
    <w:p w:rsidR="000C25AA" w:rsidRDefault="000C25AA" w:rsidP="000C25AA">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26 veintiséis de enero del año 2017 dos mil diecisiete, sin que de las constancias de la presente causa administrativa se desprenda lo contrario. . . . . . . . . . . . . . . . . . . . . . . . . . . . . . . . . . . </w:t>
      </w:r>
    </w:p>
    <w:p w:rsidR="000C25AA" w:rsidRDefault="000C25AA" w:rsidP="000C25AA">
      <w:pPr>
        <w:jc w:val="both"/>
        <w:rPr>
          <w:rFonts w:ascii="Calibri" w:hAnsi="Calibri" w:cs="Calibri"/>
          <w:b/>
          <w:i/>
          <w:iCs/>
          <w:color w:val="767171" w:themeColor="background2" w:themeShade="80"/>
          <w:sz w:val="26"/>
          <w:szCs w:val="26"/>
          <w:lang w:val="es-MX"/>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360019 (tres-seis-cero-cero-uno-nueve), de fecha 26 veintiséis de enero del año 2017 dos mil diecisiete; documento que, admitido como prueba a las partes (visible a foja 25 veinticinco),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 . . . . . . . . . . . . . . . . . . . . . . . . . . . . . . . . . . . . . . . . . . . . . . . . . . .</w:t>
      </w:r>
    </w:p>
    <w:p w:rsidR="000C25AA" w:rsidRDefault="000C25AA" w:rsidP="000C25AA">
      <w:pPr>
        <w:jc w:val="both"/>
        <w:rPr>
          <w:rFonts w:ascii="Calibri" w:hAnsi="Calibri" w:cs="Calibri"/>
          <w:color w:val="767171" w:themeColor="background2" w:themeShade="80"/>
          <w:sz w:val="26"/>
          <w:szCs w:val="26"/>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0C25AA" w:rsidRDefault="000C25AA" w:rsidP="000C25AA">
      <w:pPr>
        <w:jc w:val="both"/>
        <w:rPr>
          <w:rFonts w:ascii="Calibri" w:hAnsi="Calibri" w:cs="Calibri"/>
          <w:b/>
          <w:bCs/>
          <w:i/>
          <w:iCs/>
          <w:color w:val="767171" w:themeColor="background2" w:themeShade="80"/>
          <w:sz w:val="26"/>
          <w:szCs w:val="26"/>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0C25AA" w:rsidRDefault="000C25AA" w:rsidP="000C25AA">
      <w:pPr>
        <w:rPr>
          <w:rFonts w:ascii="Calibri" w:hAnsi="Calibri" w:cs="Calibri"/>
          <w:b/>
          <w:color w:val="767171" w:themeColor="background2" w:themeShade="80"/>
          <w:sz w:val="26"/>
          <w:szCs w:val="26"/>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0C25AA" w:rsidRDefault="000C25AA" w:rsidP="000C25AA">
      <w:pPr>
        <w:ind w:firstLine="708"/>
        <w:jc w:val="both"/>
        <w:rPr>
          <w:rFonts w:ascii="Calibri" w:hAnsi="Calibri" w:cs="Calibri"/>
          <w:color w:val="767171" w:themeColor="background2" w:themeShade="80"/>
          <w:sz w:val="26"/>
          <w:szCs w:val="26"/>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 Notario Público número 99 en legal ejercicio en el Partido Judicial de León, Guanajuato, (visible en autos a fojas 5 cinco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 . . . . . . . . . . . . . . . . . . . . . . . . . . . . . . . . . . . . . . . . . . . . </w:t>
      </w:r>
    </w:p>
    <w:p w:rsidR="000C25AA" w:rsidRDefault="000C25AA" w:rsidP="000C25AA">
      <w:pPr>
        <w:jc w:val="both"/>
        <w:rPr>
          <w:rFonts w:ascii="Calibri" w:hAnsi="Calibri" w:cs="Calibri"/>
          <w:b/>
          <w:bCs/>
          <w:i/>
          <w:iCs/>
          <w:color w:val="767171" w:themeColor="background2" w:themeShade="80"/>
          <w:sz w:val="26"/>
          <w:szCs w:val="26"/>
        </w:rPr>
      </w:pPr>
    </w:p>
    <w:p w:rsidR="000C25AA" w:rsidRDefault="000C25AA" w:rsidP="000C25AA">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0C25AA" w:rsidRDefault="000C25AA" w:rsidP="000C25AA">
      <w:pPr>
        <w:jc w:val="both"/>
        <w:rPr>
          <w:rFonts w:ascii="Calibri" w:hAnsi="Calibri" w:cs="Calibri"/>
          <w:b/>
          <w:bCs/>
          <w:i/>
          <w:iCs/>
          <w:color w:val="767171" w:themeColor="background2" w:themeShade="80"/>
          <w:sz w:val="26"/>
          <w:szCs w:val="26"/>
        </w:rPr>
      </w:pPr>
    </w:p>
    <w:p w:rsidR="000C25AA" w:rsidRDefault="000C25AA" w:rsidP="000C25AA">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w:t>
      </w:r>
      <w:r>
        <w:rPr>
          <w:rFonts w:ascii="Calibri" w:hAnsi="Calibri"/>
          <w:bCs/>
          <w:color w:val="767171" w:themeColor="background2" w:themeShade="80"/>
          <w:sz w:val="26"/>
          <w:szCs w:val="26"/>
        </w:rPr>
        <w:t xml:space="preserve">. . . . . . . . . . . . . . . . . . </w:t>
      </w:r>
    </w:p>
    <w:p w:rsidR="000C25AA" w:rsidRDefault="000C25AA" w:rsidP="000C25AA">
      <w:pPr>
        <w:pStyle w:val="Sangradetextonormal"/>
        <w:ind w:left="0" w:firstLine="708"/>
        <w:jc w:val="both"/>
        <w:rPr>
          <w:rFonts w:ascii="Calibri" w:hAnsi="Calibri" w:cs="Calibri"/>
          <w:bCs/>
          <w:iCs/>
          <w:color w:val="767171" w:themeColor="background2" w:themeShade="80"/>
          <w:sz w:val="26"/>
          <w:szCs w:val="26"/>
        </w:rPr>
      </w:pPr>
    </w:p>
    <w:p w:rsidR="000C25AA" w:rsidRDefault="000C25AA" w:rsidP="000C25AA">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286851691 (dos-ocho-seis-ocho-cinco-uno-seis-nueve-uno) del autobús marca Mercedes Benz, tipo ómnibus, modelo 2005 dos mil cinco con placas número 742898-D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fojas 17 diecisiete);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w:t>
      </w:r>
    </w:p>
    <w:p w:rsidR="000C25AA" w:rsidRDefault="000C25AA" w:rsidP="000C25AA">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0342/2doJAM/2017-JN</w:t>
      </w:r>
    </w:p>
    <w:p w:rsidR="000C25AA" w:rsidRDefault="000C25AA" w:rsidP="000C25AA">
      <w:pPr>
        <w:pStyle w:val="Sangradetextonormal"/>
        <w:ind w:left="0" w:firstLine="708"/>
        <w:jc w:val="both"/>
        <w:rPr>
          <w:rFonts w:ascii="Calibri" w:hAnsi="Calibri" w:cs="Calibri"/>
          <w:bCs/>
          <w:iCs/>
          <w:color w:val="767171" w:themeColor="background2" w:themeShade="80"/>
          <w:sz w:val="26"/>
          <w:szCs w:val="26"/>
        </w:rPr>
      </w:pPr>
    </w:p>
    <w:p w:rsidR="000C25AA" w:rsidRDefault="000C25AA" w:rsidP="000C25AA">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proceso</w:t>
      </w:r>
      <w:proofErr w:type="gramEnd"/>
      <w:r>
        <w:rPr>
          <w:rFonts w:ascii="Calibri" w:hAnsi="Calibri" w:cs="Calibri"/>
          <w:bCs/>
          <w:iCs/>
          <w:color w:val="767171" w:themeColor="background2" w:themeShade="80"/>
          <w:sz w:val="26"/>
          <w:szCs w:val="26"/>
        </w:rPr>
        <w:t xml:space="preserve"> administrativo; es más, debe decirse que tales aspectos serán analizados al entrar al estudio de fondo del presente negocio, a fin de determinar la legalidad y validez o la nulidad del acta de Infracción materia de la “litis”. . . . . . </w:t>
      </w:r>
    </w:p>
    <w:p w:rsidR="000C25AA" w:rsidRDefault="000C25AA" w:rsidP="000C25AA">
      <w:pPr>
        <w:pStyle w:val="Sangradetextonormal"/>
        <w:ind w:left="0" w:firstLine="708"/>
        <w:jc w:val="both"/>
        <w:rPr>
          <w:rFonts w:ascii="Calibri" w:hAnsi="Calibri" w:cs="Calibri"/>
          <w:bCs/>
          <w:iCs/>
          <w:color w:val="767171" w:themeColor="background2" w:themeShade="80"/>
          <w:sz w:val="26"/>
          <w:szCs w:val="26"/>
        </w:rPr>
      </w:pPr>
    </w:p>
    <w:p w:rsidR="000C25AA" w:rsidRDefault="000C25AA" w:rsidP="000C25AA">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0C25AA" w:rsidRDefault="000C25AA" w:rsidP="000C25AA">
      <w:pPr>
        <w:jc w:val="both"/>
        <w:rPr>
          <w:rFonts w:ascii="Calibri" w:hAnsi="Calibri" w:cs="Calibri"/>
          <w:b/>
          <w:bCs/>
          <w:i/>
          <w:iCs/>
          <w:color w:val="767171" w:themeColor="background2" w:themeShade="80"/>
          <w:sz w:val="26"/>
          <w:szCs w:val="26"/>
          <w:lang w:val="es-MX"/>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C25AA" w:rsidRDefault="000C25AA" w:rsidP="000C25AA">
      <w:pPr>
        <w:jc w:val="both"/>
        <w:rPr>
          <w:rFonts w:ascii="Calibri" w:hAnsi="Calibri" w:cs="Calibri"/>
          <w:color w:val="767171" w:themeColor="background2" w:themeShade="80"/>
          <w:sz w:val="26"/>
          <w:szCs w:val="26"/>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 con fecha 26 veintiséis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color w:val="767171" w:themeColor="background2" w:themeShade="80"/>
          <w:sz w:val="26"/>
          <w:szCs w:val="26"/>
        </w:rPr>
        <w:t xml:space="preserve">levantó el acta de infracción con número 360019 (tres-seis-cero-cero-uno-nueve), en la que señaló como concepto de la infracción: </w:t>
      </w:r>
      <w:r>
        <w:rPr>
          <w:rFonts w:ascii="Calibri" w:hAnsi="Calibri" w:cs="Calibri"/>
          <w:i/>
          <w:color w:val="767171" w:themeColor="background2" w:themeShade="80"/>
          <w:sz w:val="26"/>
          <w:szCs w:val="26"/>
        </w:rPr>
        <w:t>“No cumplir con los horarios, rutas, itinerarios y frecuencias autorizadas en la prestación del servicio. Me encontraba aforando la ruta A31…percatándome de la pérdida de los despachos #57 con hora de salida a las 08:11 horas y despacho número #58 con hora de salida  a las 08:15 horas de acuerdo al plan de operación vigente”;</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 .</w:t>
      </w:r>
      <w:proofErr w:type="gramEnd"/>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“litis”</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Acta que dio origen a una sanción consistente en una multa por la cantidad de $949.52 (Novecientos cuarenta y nueve pesos 52/100 Moneda Nacional), misma que fue pagada, como se acredita con el original del recibo oficial</w:t>
      </w:r>
      <w:r>
        <w:rPr>
          <w:rFonts w:ascii="Calibri" w:hAnsi="Calibri" w:cs="Calibri"/>
          <w:b/>
          <w:color w:val="767171" w:themeColor="background2" w:themeShade="80"/>
          <w:sz w:val="26"/>
          <w:szCs w:val="26"/>
        </w:rPr>
        <w:t xml:space="preserve"> </w:t>
      </w:r>
      <w:r>
        <w:rPr>
          <w:rFonts w:ascii="Calibri" w:hAnsi="Calibri" w:cs="Calibri"/>
          <w:b/>
          <w:color w:val="7F7F7F" w:themeColor="text1" w:themeTint="80"/>
          <w:sz w:val="26"/>
          <w:szCs w:val="26"/>
        </w:rPr>
        <w:t xml:space="preserve">AA 6635683 (seis-seis-tres-cinco-seis-ocho-tres) </w:t>
      </w:r>
      <w:r>
        <w:rPr>
          <w:rFonts w:ascii="Calibri" w:hAnsi="Calibri" w:cs="Calibri"/>
          <w:color w:val="767171" w:themeColor="background2" w:themeShade="80"/>
          <w:sz w:val="26"/>
          <w:szCs w:val="26"/>
        </w:rPr>
        <w:t xml:space="preserve">de fecha 7 siete de abril del año en curso (palpable a foja 46 cuarenta y seis) . . . . . . . </w:t>
      </w:r>
    </w:p>
    <w:p w:rsidR="000C25AA" w:rsidRDefault="000C25AA" w:rsidP="000C25AA">
      <w:pPr>
        <w:ind w:firstLine="708"/>
        <w:jc w:val="both"/>
        <w:rPr>
          <w:rFonts w:ascii="Calibri" w:hAnsi="Calibri" w:cs="Calibri"/>
          <w:color w:val="767171" w:themeColor="background2" w:themeShade="80"/>
          <w:sz w:val="26"/>
          <w:szCs w:val="26"/>
        </w:rPr>
      </w:pPr>
    </w:p>
    <w:p w:rsidR="000C25AA" w:rsidRDefault="000C25AA" w:rsidP="000C25AA">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Pr>
          <w:rFonts w:ascii="Calibri" w:hAnsi="Calibri" w:cs="Calibri"/>
          <w:iCs/>
          <w:color w:val="767171" w:themeColor="background2" w:themeShade="80"/>
          <w:sz w:val="26"/>
          <w:szCs w:val="26"/>
        </w:rPr>
        <w:t>. . . . . . . . . . . . . . . . . . . . . . . . . . . . . . . . .</w:t>
      </w:r>
    </w:p>
    <w:p w:rsidR="000C25AA" w:rsidRDefault="000C25AA" w:rsidP="000C25AA">
      <w:pPr>
        <w:pStyle w:val="Textoindependiente"/>
        <w:tabs>
          <w:tab w:val="left" w:pos="3594"/>
        </w:tabs>
        <w:rPr>
          <w:rFonts w:ascii="Calibri" w:hAnsi="Calibri" w:cs="Calibri"/>
          <w:iCs/>
          <w:color w:val="767171" w:themeColor="background2" w:themeShade="80"/>
          <w:sz w:val="26"/>
          <w:szCs w:val="26"/>
        </w:rPr>
      </w:pPr>
    </w:p>
    <w:p w:rsidR="000C25AA" w:rsidRDefault="000C25AA" w:rsidP="000C25AA">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0C25AA" w:rsidRDefault="000C25AA" w:rsidP="000C25AA">
      <w:pPr>
        <w:pStyle w:val="Textoindependiente"/>
        <w:tabs>
          <w:tab w:val="left" w:pos="3594"/>
        </w:tabs>
        <w:rPr>
          <w:rFonts w:ascii="Calibri" w:hAnsi="Calibri" w:cs="Calibri"/>
          <w:iCs/>
          <w:color w:val="767171" w:themeColor="background2" w:themeShade="80"/>
          <w:sz w:val="26"/>
          <w:szCs w:val="26"/>
        </w:rPr>
      </w:pPr>
    </w:p>
    <w:p w:rsidR="000C25AA" w:rsidRDefault="000C25AA" w:rsidP="000C25AA">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360019 (tres-seis-cero-cero-uno-nueve), de fecha 26 veintiséis de enero del año 2017 dos mil diecisiete, además de establecer la procedencia o improcedencia </w:t>
      </w:r>
      <w:r>
        <w:rPr>
          <w:rFonts w:ascii="Calibri" w:hAnsi="Calibri" w:cs="Calibri"/>
          <w:color w:val="7F7F7F" w:themeColor="text1" w:themeTint="80"/>
          <w:sz w:val="26"/>
          <w:szCs w:val="26"/>
        </w:rPr>
        <w:t xml:space="preserve">de sus pretensiones. . . . . . </w:t>
      </w:r>
    </w:p>
    <w:p w:rsidR="000C25AA" w:rsidRDefault="000C25AA" w:rsidP="000C25AA">
      <w:pPr>
        <w:jc w:val="both"/>
        <w:rPr>
          <w:color w:val="767171" w:themeColor="background2" w:themeShade="80"/>
          <w:sz w:val="22"/>
        </w:rPr>
      </w:pPr>
    </w:p>
    <w:p w:rsidR="000C25AA" w:rsidRDefault="000C25AA" w:rsidP="000C25AA">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bCs/>
          <w:color w:val="767171" w:themeColor="background2" w:themeShade="80"/>
          <w:sz w:val="26"/>
          <w:szCs w:val="26"/>
        </w:rPr>
        <w:t xml:space="preserve"> </w:t>
      </w:r>
    </w:p>
    <w:p w:rsidR="000C25AA" w:rsidRDefault="000C25AA" w:rsidP="000C25AA">
      <w:pPr>
        <w:ind w:firstLine="708"/>
        <w:jc w:val="both"/>
        <w:rPr>
          <w:color w:val="767171" w:themeColor="background2" w:themeShade="80"/>
          <w:lang w:val="es-MX"/>
        </w:rPr>
      </w:pPr>
    </w:p>
    <w:p w:rsidR="000C25AA" w:rsidRDefault="000C25AA" w:rsidP="000C25AA">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C25AA" w:rsidRDefault="000C25AA" w:rsidP="000C25AA">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0C25AA" w:rsidRDefault="000C25AA" w:rsidP="000C25AA">
      <w:pPr>
        <w:ind w:firstLine="708"/>
        <w:jc w:val="both"/>
        <w:rPr>
          <w:rFonts w:ascii="Calibri" w:hAnsi="Calibri"/>
          <w:bCs/>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w:t>
      </w:r>
      <w:r>
        <w:rPr>
          <w:rFonts w:ascii="Calibri" w:hAnsi="Calibri" w:cs="Calibri"/>
          <w:i/>
          <w:color w:val="767171" w:themeColor="background2" w:themeShade="80"/>
          <w:sz w:val="26"/>
          <w:szCs w:val="26"/>
        </w:rPr>
        <w:t xml:space="preserve">……..al elaborar la infracción…. toda vez que la infracción recurrida </w:t>
      </w:r>
      <w:r>
        <w:rPr>
          <w:rFonts w:ascii="Calibri" w:hAnsi="Calibri" w:cs="Calibri"/>
          <w:b/>
          <w:i/>
          <w:color w:val="767171" w:themeColor="background2" w:themeShade="80"/>
          <w:sz w:val="26"/>
          <w:szCs w:val="26"/>
        </w:rPr>
        <w:t>ostenta ambigüedad y oscuridad…deja de expresar las circunstancias de hecho y las razones lógico-jurídicas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acredita el inspector haber permanecido en el lugar de la infracción,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 </w:t>
      </w:r>
      <w:r>
        <w:rPr>
          <w:rFonts w:ascii="Calibri" w:hAnsi="Calibri"/>
          <w:bCs/>
          <w:color w:val="767171" w:themeColor="background2" w:themeShade="80"/>
          <w:sz w:val="26"/>
          <w:szCs w:val="26"/>
        </w:rPr>
        <w:t xml:space="preserve">. . . . . . . . . . . . . . . . . . . . . . . . . . . . . . </w:t>
      </w:r>
    </w:p>
    <w:p w:rsidR="000C25AA" w:rsidRDefault="000C25AA" w:rsidP="000C25AA">
      <w:pPr>
        <w:ind w:firstLine="708"/>
        <w:jc w:val="both"/>
        <w:rPr>
          <w:rFonts w:ascii="Calibri" w:hAnsi="Calibri" w:cs="Calibri"/>
          <w:iCs/>
          <w:color w:val="767171" w:themeColor="background2" w:themeShade="80"/>
          <w:sz w:val="26"/>
          <w:szCs w:val="26"/>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0C25AA" w:rsidRDefault="000C25AA" w:rsidP="000C25AA">
      <w:pPr>
        <w:jc w:val="both"/>
        <w:rPr>
          <w:rFonts w:ascii="Calibri" w:hAnsi="Calibri" w:cs="Calibri"/>
          <w:bCs/>
          <w:color w:val="AEAAAA" w:themeColor="background2" w:themeShade="BF"/>
          <w:sz w:val="26"/>
          <w:szCs w:val="26"/>
        </w:rPr>
      </w:pPr>
    </w:p>
    <w:p w:rsidR="000C25AA" w:rsidRDefault="000C25AA" w:rsidP="000C25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p>
    <w:p w:rsidR="000C25AA" w:rsidRDefault="000C25AA" w:rsidP="000C25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0342/2doJAM/2017-JN</w:t>
      </w:r>
    </w:p>
    <w:p w:rsidR="000C25AA" w:rsidRDefault="000C25AA" w:rsidP="000C25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b/>
          <w:bCs/>
          <w:color w:val="767171" w:themeColor="background2" w:themeShade="80"/>
          <w:sz w:val="26"/>
          <w:szCs w:val="26"/>
        </w:rPr>
      </w:pPr>
    </w:p>
    <w:p w:rsidR="000C25AA" w:rsidRDefault="000C25AA" w:rsidP="000C25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número </w:t>
      </w:r>
      <w:r>
        <w:rPr>
          <w:rFonts w:ascii="Calibri" w:hAnsi="Calibri" w:cs="Calibri"/>
          <w:color w:val="767171" w:themeColor="background2" w:themeShade="80"/>
          <w:sz w:val="26"/>
          <w:szCs w:val="26"/>
        </w:rPr>
        <w:t xml:space="preserve">360019 (tres-seis-cero-cero-uno-nueve), de fecha 26 veintiséis de enero del año 2017  dos mil diecisiete, sin la debida y  suficiente  motivación  de  la boleta;  pues  como  lo  señaló   la   parte   actora,   dejó   de   precisar   aspectos trascendentales para determinar si hubo una infracción al precepto citado como </w:t>
      </w:r>
      <w:r>
        <w:rPr>
          <w:rFonts w:ascii="Calibri" w:hAnsi="Calibri" w:cs="Calibri"/>
          <w:color w:val="767171" w:themeColor="background2" w:themeShade="80"/>
          <w:sz w:val="26"/>
          <w:szCs w:val="26"/>
        </w:rPr>
        <w:lastRenderedPageBreak/>
        <w:t xml:space="preserve">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w:t>
      </w:r>
    </w:p>
    <w:p w:rsidR="000C25AA" w:rsidRDefault="000C25AA" w:rsidP="000C25AA">
      <w:pPr>
        <w:jc w:val="both"/>
        <w:rPr>
          <w:rFonts w:ascii="Calibri" w:hAnsi="Calibri" w:cs="Calibri"/>
          <w:bCs/>
          <w:color w:val="767171" w:themeColor="background2" w:themeShade="80"/>
          <w:sz w:val="26"/>
          <w:szCs w:val="26"/>
        </w:rPr>
      </w:pPr>
    </w:p>
    <w:p w:rsidR="000C25AA" w:rsidRDefault="000C25AA" w:rsidP="000C25AA">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para poder así establecer que existió una inobservancia a la obligación contenida en el artículo y su fracción, distinguido como quebrantado</w:t>
      </w:r>
      <w:r>
        <w:rPr>
          <w:rFonts w:ascii="Calibri" w:hAnsi="Calibri"/>
          <w:color w:val="7F7F7F" w:themeColor="text1" w:themeTint="80"/>
          <w:sz w:val="26"/>
          <w:szCs w:val="26"/>
        </w:rPr>
        <w:t xml:space="preserve">, aunado, </w:t>
      </w:r>
      <w:r>
        <w:rPr>
          <w:rFonts w:ascii="Calibri" w:hAnsi="Calibri" w:cs="Calibri"/>
          <w:bCs/>
          <w:color w:val="767171" w:themeColor="background2" w:themeShade="80"/>
          <w:sz w:val="26"/>
          <w:szCs w:val="26"/>
        </w:rPr>
        <w:t xml:space="preserve">a que el lenguaje utilizado es poco claro, ya que no precisa a que se refieren términos como: </w:t>
      </w:r>
      <w:r>
        <w:rPr>
          <w:rFonts w:ascii="Calibri" w:hAnsi="Calibri" w:cs="Calibri"/>
          <w:bCs/>
          <w:i/>
          <w:color w:val="767171" w:themeColor="background2" w:themeShade="80"/>
          <w:sz w:val="26"/>
          <w:szCs w:val="26"/>
        </w:rPr>
        <w:t xml:space="preserve">“Aforando”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“despachos”,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w:t>
      </w:r>
      <w:r>
        <w:rPr>
          <w:rFonts w:ascii="Calibri" w:hAnsi="Calibri"/>
          <w:bCs/>
          <w:color w:val="767171" w:themeColor="background2" w:themeShade="80"/>
          <w:sz w:val="26"/>
          <w:szCs w:val="26"/>
        </w:rPr>
        <w:t>. . . . . . . . . . . . . . . . . . . . . . . . . . . . . . . .</w:t>
      </w:r>
    </w:p>
    <w:p w:rsidR="000C25AA" w:rsidRDefault="000C25AA" w:rsidP="000C25AA">
      <w:pPr>
        <w:ind w:firstLine="708"/>
        <w:jc w:val="both"/>
        <w:rPr>
          <w:rFonts w:ascii="Calibri" w:hAnsi="Calibri"/>
          <w:color w:val="7F7F7F" w:themeColor="text1" w:themeTint="80"/>
          <w:sz w:val="26"/>
          <w:szCs w:val="26"/>
        </w:rPr>
      </w:pPr>
    </w:p>
    <w:p w:rsidR="000C25AA" w:rsidRDefault="000C25AA" w:rsidP="000C25AA">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 </w:t>
      </w:r>
      <w:r>
        <w:rPr>
          <w:rFonts w:ascii="Calibri" w:hAnsi="Calibri"/>
          <w:bCs/>
          <w:color w:val="767171" w:themeColor="background2" w:themeShade="80"/>
          <w:sz w:val="26"/>
          <w:szCs w:val="26"/>
        </w:rPr>
        <w:t>. . . . . . . . . . . . . . . . . . . . . . . . . . . . . . . . . . . . . . . . . . . . . . . . . . . . .</w:t>
      </w:r>
    </w:p>
    <w:p w:rsidR="000C25AA" w:rsidRDefault="000C25AA" w:rsidP="000C25AA">
      <w:pPr>
        <w:ind w:firstLine="708"/>
        <w:jc w:val="both"/>
        <w:rPr>
          <w:rFonts w:ascii="Calibri" w:hAnsi="Calibri" w:cs="Calibri"/>
          <w:bCs/>
          <w:color w:val="767171" w:themeColor="background2" w:themeShade="80"/>
          <w:sz w:val="26"/>
          <w:szCs w:val="26"/>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no se encuentra debidamente motivada, por lo que se actualiza la causa de nulidad prevista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360019</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(tres-seis-cero-cero-uno-nueve)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w:t>
      </w:r>
    </w:p>
    <w:p w:rsidR="000C25AA" w:rsidRDefault="000C25AA" w:rsidP="000C25AA">
      <w:pPr>
        <w:jc w:val="both"/>
        <w:rPr>
          <w:rFonts w:ascii="Calibri" w:hAnsi="Calibri" w:cs="Calibri"/>
          <w:color w:val="767171" w:themeColor="background2" w:themeShade="80"/>
          <w:sz w:val="26"/>
          <w:szCs w:val="26"/>
        </w:rPr>
      </w:pPr>
    </w:p>
    <w:p w:rsidR="000C25AA" w:rsidRDefault="000C25AA" w:rsidP="000C25AA">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C25AA" w:rsidRDefault="000C25AA" w:rsidP="000C25AA">
      <w:pPr>
        <w:pStyle w:val="Textoindependiente"/>
        <w:rPr>
          <w:rFonts w:ascii="Calibri" w:hAnsi="Calibri" w:cs="Arial"/>
          <w:color w:val="767171" w:themeColor="background2" w:themeShade="80"/>
          <w:sz w:val="20"/>
          <w:szCs w:val="27"/>
          <w:lang w:val="es-ES"/>
        </w:rPr>
      </w:pPr>
    </w:p>
    <w:p w:rsidR="000C25AA" w:rsidRDefault="000C25AA" w:rsidP="000C25AA">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0C25AA" w:rsidRDefault="000C25AA" w:rsidP="000C25AA">
      <w:pPr>
        <w:pStyle w:val="Textoindependiente"/>
        <w:rPr>
          <w:rFonts w:ascii="Calibri" w:hAnsi="Calibri"/>
          <w:b/>
          <w:bCs/>
          <w:i/>
          <w:iCs/>
          <w:color w:val="767171" w:themeColor="background2" w:themeShade="80"/>
          <w:sz w:val="26"/>
          <w:szCs w:val="27"/>
        </w:rPr>
      </w:pPr>
    </w:p>
    <w:p w:rsidR="000C25AA" w:rsidRDefault="000C25AA" w:rsidP="000C25AA">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0C25AA" w:rsidRDefault="000C25AA" w:rsidP="000C25AA">
      <w:pPr>
        <w:pStyle w:val="Textoindependiente"/>
        <w:ind w:firstLine="708"/>
        <w:rPr>
          <w:rFonts w:ascii="Calibri" w:hAnsi="Calibri"/>
          <w:b/>
          <w:i/>
          <w:color w:val="767171" w:themeColor="background2" w:themeShade="80"/>
          <w:sz w:val="26"/>
        </w:rPr>
      </w:pPr>
    </w:p>
    <w:p w:rsidR="000C25AA" w:rsidRDefault="000C25AA" w:rsidP="000C25AA">
      <w:pPr>
        <w:pStyle w:val="Textoindependiente"/>
        <w:ind w:firstLine="708"/>
        <w:rPr>
          <w:rFonts w:ascii="Calibri" w:hAnsi="Calibri" w:cs="Calibri"/>
          <w:i/>
          <w:iCs/>
          <w:color w:val="767171" w:themeColor="background2" w:themeShade="80"/>
          <w:sz w:val="26"/>
          <w:szCs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condene</w:t>
      </w:r>
      <w:r>
        <w:rPr>
          <w:rFonts w:ascii="Calibri" w:hAnsi="Calibri" w:cs="Arial"/>
          <w:color w:val="767171" w:themeColor="background2" w:themeShade="80"/>
          <w:sz w:val="26"/>
          <w:szCs w:val="27"/>
        </w:rPr>
        <w:t xml:space="preserve"> 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6635683 (seis-seis-tres-cinco-seis-ocho-tres) </w:t>
      </w:r>
      <w:r>
        <w:rPr>
          <w:rFonts w:ascii="Calibri" w:hAnsi="Calibri" w:cs="Arial"/>
          <w:color w:val="7F7F7F" w:themeColor="text1" w:themeTint="80"/>
          <w:sz w:val="26"/>
          <w:szCs w:val="27"/>
        </w:rPr>
        <w:t xml:space="preserve">de fecha 7 siete de abril del año en curso. . . . . . . . . . . . . . . . . . . . . . . . . . . . . . . . . . . . . . . . . . </w:t>
      </w:r>
      <w:r>
        <w:rPr>
          <w:rFonts w:ascii="Calibri" w:hAnsi="Calibri"/>
          <w:bCs/>
          <w:color w:val="767171" w:themeColor="background2" w:themeShade="80"/>
          <w:sz w:val="26"/>
          <w:szCs w:val="26"/>
        </w:rPr>
        <w:t xml:space="preserve">. . </w:t>
      </w:r>
    </w:p>
    <w:p w:rsidR="000C25AA" w:rsidRDefault="000C25AA" w:rsidP="000C25AA">
      <w:pPr>
        <w:pStyle w:val="Textoindependiente"/>
        <w:ind w:firstLine="708"/>
        <w:rPr>
          <w:rFonts w:ascii="Calibri" w:hAnsi="Calibri" w:cs="Arial"/>
          <w:color w:val="7F7F7F" w:themeColor="text1" w:themeTint="80"/>
          <w:sz w:val="26"/>
          <w:szCs w:val="27"/>
        </w:rPr>
      </w:pPr>
    </w:p>
    <w:p w:rsidR="000C25AA" w:rsidRDefault="000C25AA" w:rsidP="000C25AA">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0C25AA" w:rsidRDefault="000C25AA" w:rsidP="000C25AA">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0C25AA" w:rsidRDefault="000C25AA" w:rsidP="000C25AA">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p>
    <w:p w:rsidR="000C25AA" w:rsidRDefault="000C25AA" w:rsidP="000C25AA">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 xml:space="preserve">por lo que corresponde a esa Dirección General de Tránsito y Transporte, realizar las gestiones necesarias para que quede sin efectos el pago realizado a la autoridad </w:t>
      </w:r>
      <w:r>
        <w:rPr>
          <w:rFonts w:ascii="Calibri" w:hAnsi="Calibri" w:cs="Arial"/>
          <w:i/>
          <w:color w:val="7F7F7F" w:themeColor="text1" w:themeTint="80"/>
          <w:sz w:val="26"/>
          <w:szCs w:val="26"/>
        </w:rPr>
        <w:lastRenderedPageBreak/>
        <w:t>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w:t>
      </w:r>
      <w:r>
        <w:rPr>
          <w:rFonts w:ascii="Calibri" w:hAnsi="Calibri" w:cs="Arial"/>
          <w:color w:val="7F7F7F" w:themeColor="text1" w:themeTint="80"/>
          <w:sz w:val="26"/>
          <w:szCs w:val="27"/>
        </w:rPr>
        <w:t xml:space="preserve"> </w:t>
      </w:r>
    </w:p>
    <w:p w:rsidR="000C25AA" w:rsidRDefault="000C25AA" w:rsidP="000C25AA">
      <w:pPr>
        <w:pStyle w:val="Textoindependiente"/>
        <w:rPr>
          <w:rFonts w:ascii="Calibri" w:hAnsi="Calibri"/>
          <w:color w:val="767171" w:themeColor="background2" w:themeShade="80"/>
          <w:sz w:val="20"/>
          <w:szCs w:val="20"/>
          <w:lang w:val="es-ES"/>
        </w:rPr>
      </w:pPr>
    </w:p>
    <w:p w:rsidR="000C25AA" w:rsidRDefault="000C25AA" w:rsidP="000C25AA">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0C25AA" w:rsidRDefault="000C25AA" w:rsidP="000C25AA">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0342/2doJAM/2017-JN</w:t>
      </w:r>
    </w:p>
    <w:p w:rsidR="000C25AA" w:rsidRDefault="000C25AA" w:rsidP="000C25AA">
      <w:pPr>
        <w:pStyle w:val="Textoindependiente"/>
        <w:ind w:firstLine="708"/>
        <w:rPr>
          <w:rFonts w:ascii="Calibri" w:hAnsi="Calibri" w:cs="Calibri"/>
          <w:color w:val="767171" w:themeColor="background2" w:themeShade="80"/>
          <w:sz w:val="20"/>
          <w:szCs w:val="20"/>
        </w:rPr>
      </w:pPr>
    </w:p>
    <w:p w:rsidR="000C25AA" w:rsidRDefault="000C25AA" w:rsidP="000C25AA">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0C25AA" w:rsidRDefault="000C25AA" w:rsidP="000C25AA">
      <w:pPr>
        <w:pStyle w:val="Textoindependiente"/>
        <w:rPr>
          <w:rFonts w:ascii="Calibri" w:hAnsi="Calibri" w:cs="Calibri"/>
          <w:color w:val="767171" w:themeColor="background2" w:themeShade="80"/>
          <w:sz w:val="20"/>
          <w:szCs w:val="20"/>
        </w:rPr>
      </w:pPr>
    </w:p>
    <w:p w:rsidR="000C25AA" w:rsidRDefault="000C25AA" w:rsidP="000C25A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0C25AA" w:rsidRDefault="000C25AA" w:rsidP="000C25AA">
      <w:pPr>
        <w:pStyle w:val="Textoindependiente"/>
        <w:ind w:firstLine="708"/>
        <w:rPr>
          <w:rFonts w:ascii="Calibri" w:hAnsi="Calibri" w:cs="Calibri"/>
          <w:color w:val="767171" w:themeColor="background2" w:themeShade="80"/>
          <w:sz w:val="20"/>
          <w:szCs w:val="20"/>
        </w:rPr>
      </w:pPr>
    </w:p>
    <w:p w:rsidR="000C25AA" w:rsidRDefault="000C25AA" w:rsidP="000C25AA">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0C25AA" w:rsidRDefault="000C25AA" w:rsidP="000C25AA">
      <w:pPr>
        <w:pStyle w:val="Textoindependiente"/>
        <w:ind w:firstLine="708"/>
        <w:rPr>
          <w:rFonts w:ascii="Calibri" w:hAnsi="Calibri" w:cs="Calibri"/>
          <w:bCs/>
          <w:iCs/>
          <w:color w:val="767171" w:themeColor="background2" w:themeShade="80"/>
          <w:sz w:val="20"/>
          <w:szCs w:val="20"/>
        </w:rPr>
      </w:pPr>
    </w:p>
    <w:p w:rsidR="000C25AA" w:rsidRDefault="000C25AA" w:rsidP="000C25AA">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360019</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(tres-seis-cero-cero-uno-nueve)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0C25AA" w:rsidRDefault="000C25AA" w:rsidP="000C25AA">
      <w:pPr>
        <w:ind w:firstLine="708"/>
        <w:jc w:val="both"/>
        <w:rPr>
          <w:rFonts w:ascii="Calibri" w:hAnsi="Calibri" w:cs="Calibri"/>
          <w:b/>
          <w:bCs/>
          <w:i/>
          <w:iCs/>
          <w:color w:val="767171" w:themeColor="background2" w:themeShade="80"/>
          <w:sz w:val="20"/>
          <w:szCs w:val="20"/>
        </w:rPr>
      </w:pPr>
    </w:p>
    <w:p w:rsidR="000C25AA" w:rsidRDefault="000C25AA" w:rsidP="000C25AA">
      <w:pPr>
        <w:ind w:firstLine="708"/>
        <w:jc w:val="both"/>
        <w:rPr>
          <w:rFonts w:ascii="Calibri" w:hAnsi="Calibri"/>
          <w:color w:val="7F7F7F" w:themeColor="text1" w:themeTint="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0C25AA" w:rsidRDefault="000C25AA" w:rsidP="000C25AA">
      <w:pPr>
        <w:jc w:val="both"/>
        <w:rPr>
          <w:rFonts w:ascii="Calibri" w:hAnsi="Calibri" w:cs="Calibri"/>
          <w:color w:val="7F7F7F" w:themeColor="text1" w:themeTint="80"/>
          <w:sz w:val="20"/>
          <w:szCs w:val="20"/>
        </w:rPr>
      </w:pPr>
    </w:p>
    <w:p w:rsidR="000C25AA" w:rsidRDefault="000C25AA" w:rsidP="000C25AA">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w:t>
      </w:r>
      <w:r>
        <w:rPr>
          <w:rFonts w:ascii="Calibri" w:hAnsi="Calibri" w:cs="Calibri"/>
          <w:bCs/>
          <w:iCs/>
          <w:color w:val="7F7F7F" w:themeColor="text1" w:themeTint="80"/>
          <w:sz w:val="26"/>
          <w:szCs w:val="26"/>
        </w:rPr>
        <w:t xml:space="preserve"> .</w:t>
      </w:r>
    </w:p>
    <w:p w:rsidR="000C25AA" w:rsidRDefault="000C25AA" w:rsidP="000C25AA">
      <w:pPr>
        <w:pStyle w:val="Textoindependiente"/>
        <w:ind w:firstLine="708"/>
        <w:rPr>
          <w:rFonts w:ascii="Calibri" w:hAnsi="Calibri" w:cs="Calibri"/>
          <w:color w:val="767171" w:themeColor="background2" w:themeShade="80"/>
          <w:sz w:val="26"/>
          <w:szCs w:val="26"/>
        </w:rPr>
      </w:pPr>
    </w:p>
    <w:p w:rsidR="000C25AA" w:rsidRDefault="000C25AA" w:rsidP="000C25AA">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0C25AA" w:rsidRDefault="000C25AA" w:rsidP="000C25AA">
      <w:pPr>
        <w:pStyle w:val="Textoindependiente"/>
        <w:rPr>
          <w:rFonts w:ascii="Calibri" w:hAnsi="Calibri" w:cs="Calibri"/>
          <w:color w:val="767171" w:themeColor="background2" w:themeShade="80"/>
          <w:sz w:val="20"/>
          <w:szCs w:val="20"/>
        </w:rPr>
      </w:pPr>
    </w:p>
    <w:p w:rsidR="000C25AA" w:rsidRDefault="000C25AA" w:rsidP="000C25AA">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0C25AA" w:rsidRDefault="000C25AA" w:rsidP="000C25AA">
      <w:pPr>
        <w:pStyle w:val="Textoindependiente"/>
        <w:ind w:firstLine="708"/>
        <w:rPr>
          <w:rFonts w:ascii="Calibri" w:hAnsi="Calibri" w:cs="Calibri"/>
          <w:color w:val="767171" w:themeColor="background2" w:themeShade="80"/>
          <w:sz w:val="26"/>
          <w:szCs w:val="26"/>
        </w:rPr>
      </w:pPr>
    </w:p>
    <w:p w:rsidR="000C25AA" w:rsidRDefault="000C25AA" w:rsidP="000C25AA">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0C25AA" w:rsidRDefault="004F58FC">
      <w:pPr>
        <w:rPr>
          <w:lang w:val="es-MX"/>
        </w:rPr>
      </w:pPr>
      <w:bookmarkStart w:id="0" w:name="_GoBack"/>
      <w:bookmarkEnd w:id="0"/>
    </w:p>
    <w:sectPr w:rsidR="004F58FC" w:rsidRPr="000C25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AA"/>
    <w:rsid w:val="000C25AA"/>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18343-D1E1-43D0-AA51-58BA86BC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5A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25AA"/>
    <w:pPr>
      <w:jc w:val="both"/>
    </w:pPr>
    <w:rPr>
      <w:lang w:val="es-MX"/>
    </w:rPr>
  </w:style>
  <w:style w:type="character" w:customStyle="1" w:styleId="TextoindependienteCar">
    <w:name w:val="Texto independiente Car"/>
    <w:basedOn w:val="Fuentedeprrafopredeter"/>
    <w:link w:val="Textoindependiente"/>
    <w:rsid w:val="000C25A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0C25A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C25A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3522</Words>
  <Characters>19375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2017-08-31T18:03:00Z</dcterms:created>
  <dcterms:modified xsi:type="dcterms:W3CDTF">2017-08-31T18:04:00Z</dcterms:modified>
</cp:coreProperties>
</file>